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1" w:rsidRDefault="007904BB" w:rsidP="00A1405B">
      <w:pPr>
        <w:ind w:left="540" w:right="419"/>
        <w:rPr>
          <w:b/>
          <w:color w:val="AF272F"/>
          <w:sz w:val="36"/>
          <w:szCs w:val="44"/>
        </w:rPr>
      </w:pPr>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2019</w:t>
      </w:r>
    </w:p>
    <w:p w:rsidR="001174B8" w:rsidRDefault="007F69BD" w:rsidP="00CC45E0">
      <w:pPr>
        <w:pStyle w:val="ESIntroParagraph"/>
        <w:ind w:left="-567" w:right="1607" w:firstLine="1107"/>
        <w:rPr>
          <w:color w:val="595959" w:themeColor="text1" w:themeTint="A6"/>
        </w:rPr>
      </w:pPr>
    </w:p>
    <w:p w:rsidR="00ED54A5" w:rsidRPr="00962EA9" w:rsidRDefault="007904BB" w:rsidP="00ED54A5">
      <w:pPr>
        <w:ind w:left="540" w:right="419"/>
        <w:rPr>
          <w:b/>
          <w:color w:val="AF272F"/>
          <w:sz w:val="32"/>
          <w:szCs w:val="32"/>
        </w:rPr>
      </w:pPr>
      <w:r w:rsidRPr="00962EA9">
        <w:rPr>
          <w:b/>
          <w:color w:val="AF272F"/>
          <w:sz w:val="32"/>
          <w:szCs w:val="32"/>
        </w:rPr>
        <w:t>Select Annual Goals and KIS</w:t>
      </w:r>
    </w:p>
    <w:p w:rsidR="001174B8" w:rsidRDefault="007F69BD" w:rsidP="00CC45E0">
      <w:pPr>
        <w:pStyle w:val="ESIntroParagraph"/>
        <w:ind w:left="-567" w:right="1607" w:firstLine="1107"/>
        <w:rPr>
          <w:color w:val="595959" w:themeColor="text1" w:themeTint="A6"/>
        </w:rPr>
      </w:pPr>
    </w:p>
    <w:p w:rsidR="00841F2A" w:rsidRPr="0096710D" w:rsidRDefault="007904BB" w:rsidP="00CC45E0">
      <w:pPr>
        <w:pStyle w:val="ESIntroParagraph"/>
        <w:ind w:left="-567" w:right="1607" w:firstLine="1107"/>
        <w:rPr>
          <w:color w:val="595959" w:themeColor="text1" w:themeTint="A6"/>
        </w:rPr>
      </w:pPr>
      <w:r w:rsidRPr="0096710D">
        <w:rPr>
          <w:noProof/>
          <w:color w:val="595959" w:themeColor="text1" w:themeTint="A6"/>
        </w:rPr>
        <w:t>Whittington Primary School (5123)</w:t>
      </w:r>
    </w:p>
    <w:p w:rsidR="00841F2A" w:rsidRPr="008766A4" w:rsidRDefault="007F69BD" w:rsidP="00D84C0F">
      <w:pPr>
        <w:pStyle w:val="ESIntroParagraph"/>
        <w:ind w:left="-567" w:right="4330"/>
      </w:pPr>
    </w:p>
    <w:p w:rsidR="00751081" w:rsidRDefault="007F69BD" w:rsidP="00D84C0F">
      <w:pPr>
        <w:pStyle w:val="Heading1"/>
        <w:ind w:left="-567"/>
      </w:pPr>
    </w:p>
    <w:p w:rsidR="00DA2B24" w:rsidRDefault="007F69BD" w:rsidP="00895870">
      <w:pPr>
        <w:pStyle w:val="ESHeading2"/>
      </w:pPr>
    </w:p>
    <w:p w:rsidR="00C35E70" w:rsidRDefault="007F69BD" w:rsidP="00895870">
      <w:pPr>
        <w:pStyle w:val="ESHeading2"/>
      </w:pPr>
    </w:p>
    <w:p w:rsidR="00DA2B24" w:rsidRDefault="007F69BD" w:rsidP="00895870">
      <w:pPr>
        <w:pStyle w:val="ESHeading2"/>
      </w:pPr>
    </w:p>
    <w:p w:rsidR="00ED2271" w:rsidRDefault="007F69BD" w:rsidP="00895870">
      <w:pPr>
        <w:pStyle w:val="ESHeading2"/>
      </w:pPr>
    </w:p>
    <w:p w:rsidR="00C35E70" w:rsidRPr="00683AC0" w:rsidRDefault="007904BB" w:rsidP="00683AC0">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150516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1505160"/>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C35E70" w:rsidRDefault="007904BB" w:rsidP="00C35E70">
                            <w:pPr>
                              <w:pStyle w:val="ESBodyText"/>
                            </w:pPr>
                            <w:r>
                              <w:rPr>
                                <w:noProof/>
                              </w:rPr>
                              <w:t>Submitted for review by Craig Smith (School Principal) on 06 December, 2018 at 03:01 PM</w:t>
                            </w:r>
                            <w:r>
                              <w:rPr>
                                <w:noProof/>
                              </w:rPr>
                              <w:br/>
                              <w:t>Endorsed by Alan Davis (Senior Education Improvement Leader) on 19 December, 2018 at 09:39 AM</w:t>
                            </w:r>
                            <w:r>
                              <w:rPr>
                                <w:noProof/>
                              </w:rPr>
                              <w:br/>
                              <w:t>Endorsed by Dana Nikkelson (School Council President) on 19 December, 2018 at 03:43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jL+kpN4AAAAMAQAADwAA&#10;AGRycy9kb3ducmV2LnhtbEyPwU7DMBBE70j8g7VIXFDrFOG2SeNUgATi2tIP2MTbJGq8jmK3Sf8e&#10;lwscZ3Y0+ybfTrYTFxp861jDYp6AIK6cabnWcPj+mK1B+IBssHNMGq7kYVvc3+WYGTfyji77UItY&#10;wj5DDU0IfSalrxqy6OeuJ463oxsshiiHWpoBx1huO/mcJEtpseX4ocGe3huqTvuz1XD8Gp9UOpaf&#10;4bDavSzfsF2V7qr148P0ugERaAp/YbjhR3QoIlPpzmy86KJWkTxomC3StQJxSyil4rzy10tBFrn8&#10;P6L4AQAA//8DAFBLAQItABQABgAIAAAAIQC2gziS/gAAAOEBAAATAAAAAAAAAAAAAAAAAAAAAABb&#10;Q29udGVudF9UeXBlc10ueG1sUEsBAi0AFAAGAAgAAAAhADj9If/WAAAAlAEAAAsAAAAAAAAAAAAA&#10;AAAALwEAAF9yZWxzLy5yZWxzUEsBAi0AFAAGAAgAAAAhAHChKrD9AQAA0AMAAA4AAAAAAAAAAAAA&#10;AAAALgIAAGRycy9lMm9Eb2MueG1sUEsBAi0AFAAGAAgAAAAhAIy/pKTeAAAADAEAAA8AAAAAAAAA&#10;AAAAAAAAVwQAAGRycy9kb3ducmV2LnhtbFBLBQYAAAAABAAEAPMAAABiBQAAAAA=&#10;" stroked="f">
                <v:textbox>
                  <w:txbxContent>
                    <w:p w:rsidR="00C35E70" w:rsidRDefault="007904BB" w:rsidP="00C35E70">
                      <w:pPr>
                        <w:pStyle w:val="ESBodyText"/>
                      </w:pPr>
                      <w:r>
                        <w:rPr>
                          <w:noProof/>
                        </w:rPr>
                        <w:t>Submitted for review by Craig Smith (School Principal) on 06 December, 2018 at 03:01 PM</w:t>
                      </w:r>
                      <w:r>
                        <w:rPr>
                          <w:noProof/>
                        </w:rPr>
                        <w:br/>
                        <w:t>Endorsed by Alan Davis (Senior Education Improvement Leader) on 19 December, 2018 at 09:39 AM</w:t>
                      </w:r>
                      <w:r>
                        <w:rPr>
                          <w:noProof/>
                        </w:rPr>
                        <w:br/>
                        <w:t>Endorsed by Dana Nikkelson (School Council President) on 19 December, 2018 at 03:43 PM</w:t>
                      </w:r>
                      <w:r>
                        <w:rPr>
                          <w:noProof/>
                        </w:rPr>
                        <w:br/>
                      </w:r>
                    </w:p>
                  </w:txbxContent>
                </v:textbox>
                <w10:wrap anchorx="margin" anchory="margin"/>
                <w10:anchorlock/>
              </v:shape>
            </w:pict>
          </mc:Fallback>
        </mc:AlternateContent>
      </w:r>
    </w:p>
    <w:p w:rsidR="00C65B59" w:rsidRDefault="007F69BD" w:rsidP="00CB0768">
      <w:pPr>
        <w:pStyle w:val="ESHeading2"/>
        <w:rPr>
          <w:b w:val="0"/>
        </w:rPr>
      </w:pPr>
    </w:p>
    <w:p w:rsidR="00CB0768" w:rsidRDefault="007F69BD"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p>
    <w:p w:rsidR="00145C6B" w:rsidRPr="001C76FB" w:rsidRDefault="007904B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RDefault="007F69B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D12641" w:rsidTr="000100BE">
        <w:trPr>
          <w:trHeight w:val="783"/>
        </w:trPr>
        <w:tc>
          <w:tcPr>
            <w:tcW w:w="3589" w:type="dxa"/>
            <w:shd w:val="clear" w:color="auto" w:fill="D9D9D9" w:themeFill="background1" w:themeFillShade="D9"/>
          </w:tcPr>
          <w:p w:rsidR="00B06A30" w:rsidRPr="00AC7B7B" w:rsidRDefault="007904B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7904BB" w:rsidP="00B06A30">
            <w:pPr>
              <w:pStyle w:val="Heading3"/>
              <w:spacing w:before="100" w:beforeAutospacing="1" w:after="0"/>
            </w:pPr>
            <w:r w:rsidRPr="00AC7B7B">
              <w:t>Is this selected for focus this year?</w:t>
            </w:r>
          </w:p>
          <w:p w:rsidR="00B06A30" w:rsidRPr="00AC7B7B" w:rsidRDefault="007F69BD" w:rsidP="00DA66C8">
            <w:pPr>
              <w:pStyle w:val="Heading3"/>
              <w:spacing w:before="100" w:beforeAutospacing="1" w:after="0"/>
            </w:pPr>
          </w:p>
        </w:tc>
        <w:tc>
          <w:tcPr>
            <w:tcW w:w="6219" w:type="dxa"/>
            <w:shd w:val="clear" w:color="auto" w:fill="D9D9D9" w:themeFill="background1" w:themeFillShade="D9"/>
          </w:tcPr>
          <w:p w:rsidR="00B06A30" w:rsidRPr="00DA66C8" w:rsidRDefault="007904BB"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7904BB" w:rsidP="00DA66C8">
            <w:pPr>
              <w:pStyle w:val="Heading3"/>
              <w:spacing w:before="100" w:beforeAutospacing="1" w:after="0"/>
            </w:pPr>
            <w:r w:rsidRPr="00AC7B7B">
              <w:t>12 month target</w:t>
            </w:r>
          </w:p>
          <w:p w:rsidR="00B06A30" w:rsidRPr="00B06A30" w:rsidRDefault="007904BB"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D12641" w:rsidTr="000F3492">
        <w:trPr>
          <w:trHeight w:val="83"/>
        </w:trPr>
        <w:tc>
          <w:tcPr>
            <w:tcW w:w="3589" w:type="dxa"/>
          </w:tcPr>
          <w:p w:rsidR="00B06A30" w:rsidRPr="00BB23C7" w:rsidRDefault="007904BB" w:rsidP="00BB23C7">
            <w:pPr>
              <w:pStyle w:val="ESBodyText"/>
              <w:spacing w:after="0"/>
            </w:pPr>
            <w:r>
              <w:rPr>
                <w:sz w:val="20"/>
              </w:rPr>
              <w:t xml:space="preserve">Excellence in Teaching and Learning </w:t>
            </w:r>
            <w:r>
              <w:rPr>
                <w:sz w:val="20"/>
              </w:rPr>
              <w:br/>
            </w:r>
            <w:r>
              <w:rPr>
                <w:sz w:val="20"/>
              </w:rPr>
              <w:br/>
              <w:t>Goal: To improve student learning outcomes in Numeracy.</w:t>
            </w:r>
          </w:p>
        </w:tc>
        <w:tc>
          <w:tcPr>
            <w:tcW w:w="1457" w:type="dxa"/>
          </w:tcPr>
          <w:p w:rsidR="00B06A30" w:rsidRPr="00BB23C7" w:rsidRDefault="007904BB" w:rsidP="00BB23C7">
            <w:pPr>
              <w:pStyle w:val="ESBodyText"/>
              <w:spacing w:after="0"/>
            </w:pPr>
            <w:r>
              <w:rPr>
                <w:sz w:val="20"/>
              </w:rPr>
              <w:t>Yes</w:t>
            </w:r>
          </w:p>
        </w:tc>
        <w:tc>
          <w:tcPr>
            <w:tcW w:w="6219" w:type="dxa"/>
          </w:tcPr>
          <w:p w:rsidR="00D12641" w:rsidRDefault="007904B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continue to exceed the threshold performance standard in Mathematics (Victorian Curriculum: % C &amp; above) on the Intake Adjusted chart in the Government School Performance Report.</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improve the school mean in NAPLAN results for each test in Years 3 and 5 to be above the mean score of similar schools on the My School Website.</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increase the proportion of students (excluding PSD) being assessed by teachers against Victorian Curriculum in Mathematics: 1. at or above expected levels to more than 80%; and 2. above expected levels to more than 15%</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increase the number of matched cohort students demonstrating academic growth above Victorian Curriculum expectations in Number &amp; Algebra to above 40% over the period of the School Strategic Plan.</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12641" w:rsidRDefault="00D12641"/>
        </w:tc>
        <w:tc>
          <w:tcPr>
            <w:tcW w:w="3945" w:type="dxa"/>
          </w:tcPr>
          <w:p w:rsidR="00B06A30" w:rsidRPr="00BB23C7" w:rsidRDefault="007904BB" w:rsidP="00BB23C7">
            <w:pPr>
              <w:pStyle w:val="ESBodyText"/>
              <w:spacing w:after="0"/>
            </w:pPr>
            <w:r>
              <w:rPr>
                <w:sz w:val="20"/>
              </w:rPr>
              <w:t>To increase the percentage of students in the Top 2 Bands (Year 5) in NAPLAN Numeracy from 5.6% (2018) to 25% (2019)</w:t>
            </w:r>
            <w:r>
              <w:rPr>
                <w:sz w:val="20"/>
              </w:rPr>
              <w:br/>
            </w:r>
            <w:r>
              <w:rPr>
                <w:sz w:val="20"/>
              </w:rPr>
              <w:br/>
              <w:t>To increase the student with high or medium relative learning gain (Year 3 to 5) in NAPLAN Numeracy from 46.7% (2018) to 60% (2019)</w:t>
            </w:r>
            <w:r>
              <w:rPr>
                <w:sz w:val="20"/>
              </w:rPr>
              <w:br/>
            </w:r>
          </w:p>
        </w:tc>
      </w:tr>
      <w:tr w:rsidR="00D12641" w:rsidTr="000F3492">
        <w:trPr>
          <w:trHeight w:val="83"/>
        </w:trPr>
        <w:tc>
          <w:tcPr>
            <w:tcW w:w="3589" w:type="dxa"/>
          </w:tcPr>
          <w:p w:rsidR="00B06A30" w:rsidRPr="00BB23C7" w:rsidRDefault="007904BB" w:rsidP="00BB23C7">
            <w:pPr>
              <w:pStyle w:val="ESBodyText"/>
              <w:spacing w:after="0"/>
            </w:pPr>
            <w:r>
              <w:rPr>
                <w:sz w:val="20"/>
              </w:rPr>
              <w:t>Positive Climate for Learning</w:t>
            </w:r>
            <w:r>
              <w:rPr>
                <w:sz w:val="20"/>
              </w:rPr>
              <w:br/>
            </w:r>
            <w:r>
              <w:rPr>
                <w:sz w:val="20"/>
              </w:rPr>
              <w:br/>
              <w:t>Goal: To further embed SWPBS across all areas of the school through continuing development increased fidelity and embedding of a positive learning culture with a specific focus on improving student perceptions of safety.</w:t>
            </w:r>
          </w:p>
        </w:tc>
        <w:tc>
          <w:tcPr>
            <w:tcW w:w="1457" w:type="dxa"/>
          </w:tcPr>
          <w:p w:rsidR="00B06A30" w:rsidRPr="00BB23C7" w:rsidRDefault="007904BB" w:rsidP="00BB23C7">
            <w:pPr>
              <w:pStyle w:val="ESBodyText"/>
              <w:spacing w:after="0"/>
            </w:pPr>
            <w:r>
              <w:rPr>
                <w:sz w:val="20"/>
              </w:rPr>
              <w:t>Yes</w:t>
            </w:r>
          </w:p>
        </w:tc>
        <w:tc>
          <w:tcPr>
            <w:tcW w:w="6219" w:type="dxa"/>
          </w:tcPr>
          <w:p w:rsidR="00D12641" w:rsidRDefault="007904B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maintain or exceed a percentile mean score in the Attitudes to School Survey – Student Relationships module at or above 40%</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maintain or exceed a percentile mean score in the Attitudes to School Survey – Wellbeing module at or above 50%</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be greater than one standard deviation of the predicted score for Student Safety on the School Comparison Intake Adjusted chart in the Performance Summary report.</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maintain or exceed a percentile mean score in the Parent Opinion Survey – Student Behaviour module at or above 40%</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attain a SWPBS Platinum Accreditation or equivalent standard of implementation.</w:t>
            </w:r>
          </w:p>
          <w:p w:rsidR="00D12641" w:rsidRDefault="00D12641"/>
        </w:tc>
        <w:tc>
          <w:tcPr>
            <w:tcW w:w="3945" w:type="dxa"/>
          </w:tcPr>
          <w:p w:rsidR="00B06A30" w:rsidRPr="00BB23C7" w:rsidRDefault="007904BB" w:rsidP="00BB23C7">
            <w:pPr>
              <w:pStyle w:val="ESBodyText"/>
              <w:spacing w:after="0"/>
            </w:pPr>
            <w:r>
              <w:rPr>
                <w:sz w:val="20"/>
              </w:rPr>
              <w:t xml:space="preserve">To increase the Attendance Rate from 87.4% (2018) to above 90% in (2019) </w:t>
            </w:r>
            <w:r>
              <w:rPr>
                <w:sz w:val="20"/>
              </w:rPr>
              <w:br/>
            </w:r>
            <w:r>
              <w:rPr>
                <w:sz w:val="20"/>
              </w:rPr>
              <w:br/>
              <w:t>To increase the percentage of students responding positively in the Attitudes to School Survey about feeling safe at school from 67% (2018) to 80% (2019) and about feeling that the school deals fairly with bullying problems from 68% (2018) to 80% (2019)</w:t>
            </w:r>
            <w:r>
              <w:rPr>
                <w:sz w:val="20"/>
              </w:rPr>
              <w:br/>
            </w:r>
            <w:r>
              <w:rPr>
                <w:sz w:val="20"/>
              </w:rPr>
              <w:br/>
              <w:t>To increase the percentage of parents who believe that the school gives them  opportunities to participate in their child's education in the Parent Opi</w:t>
            </w:r>
            <w:r w:rsidR="003563C8">
              <w:rPr>
                <w:sz w:val="20"/>
              </w:rPr>
              <w:t>ni</w:t>
            </w:r>
            <w:r>
              <w:rPr>
                <w:sz w:val="20"/>
              </w:rPr>
              <w:t>on Survey from 82% (2018) to 95% (2019)</w:t>
            </w:r>
          </w:p>
        </w:tc>
      </w:tr>
      <w:tr w:rsidR="00D12641" w:rsidTr="000F3492">
        <w:trPr>
          <w:trHeight w:val="83"/>
        </w:trPr>
        <w:tc>
          <w:tcPr>
            <w:tcW w:w="3589" w:type="dxa"/>
          </w:tcPr>
          <w:p w:rsidR="00B06A30" w:rsidRPr="00BB23C7" w:rsidRDefault="007904BB" w:rsidP="00BB23C7">
            <w:pPr>
              <w:pStyle w:val="ESBodyText"/>
              <w:spacing w:after="0"/>
            </w:pPr>
            <w:r>
              <w:rPr>
                <w:sz w:val="20"/>
              </w:rPr>
              <w:t>Community Engagement in Learning</w:t>
            </w:r>
            <w:r>
              <w:rPr>
                <w:sz w:val="20"/>
              </w:rPr>
              <w:br/>
            </w:r>
            <w:r>
              <w:rPr>
                <w:sz w:val="20"/>
              </w:rPr>
              <w:br/>
              <w:t>Goal: To achieve a reduction in student absenteeism and an increase in the awareness of positive student attendance across the community.</w:t>
            </w:r>
          </w:p>
        </w:tc>
        <w:tc>
          <w:tcPr>
            <w:tcW w:w="1457" w:type="dxa"/>
          </w:tcPr>
          <w:p w:rsidR="00B06A30" w:rsidRPr="00BB23C7" w:rsidRDefault="007904BB" w:rsidP="00BB23C7">
            <w:pPr>
              <w:pStyle w:val="ESBodyText"/>
              <w:spacing w:after="0"/>
            </w:pPr>
            <w:r>
              <w:rPr>
                <w:sz w:val="20"/>
              </w:rPr>
              <w:t>No</w:t>
            </w:r>
          </w:p>
        </w:tc>
        <w:tc>
          <w:tcPr>
            <w:tcW w:w="6219" w:type="dxa"/>
          </w:tcPr>
          <w:p w:rsidR="00D12641" w:rsidRDefault="007904B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Reduce the average number of days absent per students to below the desired threshold value of 18 days in the Government School Performance Report over the period of the School Strategic Plan.</w:t>
            </w:r>
          </w:p>
          <w:p w:rsidR="00D12641" w:rsidRDefault="00D12641"/>
        </w:tc>
        <w:tc>
          <w:tcPr>
            <w:tcW w:w="3945" w:type="dxa"/>
          </w:tcPr>
          <w:p w:rsidR="00B06A30" w:rsidRPr="00BB23C7" w:rsidRDefault="007F69BD" w:rsidP="00BB23C7">
            <w:pPr>
              <w:pStyle w:val="ESBodyText"/>
              <w:spacing w:after="0"/>
            </w:pPr>
          </w:p>
        </w:tc>
      </w:tr>
      <w:tr w:rsidR="00D12641" w:rsidTr="000F3492">
        <w:trPr>
          <w:trHeight w:val="83"/>
        </w:trPr>
        <w:tc>
          <w:tcPr>
            <w:tcW w:w="3589" w:type="dxa"/>
          </w:tcPr>
          <w:p w:rsidR="00B06A30" w:rsidRPr="00BB23C7" w:rsidRDefault="007904BB" w:rsidP="00BB23C7">
            <w:pPr>
              <w:pStyle w:val="ESBodyText"/>
              <w:spacing w:after="0"/>
            </w:pPr>
            <w:r>
              <w:rPr>
                <w:sz w:val="20"/>
              </w:rPr>
              <w:t xml:space="preserve">Professional Leadership </w:t>
            </w:r>
            <w:r>
              <w:rPr>
                <w:sz w:val="20"/>
              </w:rPr>
              <w:br/>
            </w:r>
            <w:r>
              <w:rPr>
                <w:sz w:val="20"/>
              </w:rPr>
              <w:br/>
              <w:t>Goal: To continue to build and strengthen PLCs, particularly in terms of Mathematics and Literacy leadership, and teacher knowledge and practice.</w:t>
            </w:r>
          </w:p>
        </w:tc>
        <w:tc>
          <w:tcPr>
            <w:tcW w:w="1457" w:type="dxa"/>
          </w:tcPr>
          <w:p w:rsidR="00B06A30" w:rsidRPr="00BB23C7" w:rsidRDefault="007904BB" w:rsidP="00BB23C7">
            <w:pPr>
              <w:pStyle w:val="ESBodyText"/>
              <w:spacing w:after="0"/>
            </w:pPr>
            <w:r>
              <w:rPr>
                <w:sz w:val="20"/>
              </w:rPr>
              <w:t>No</w:t>
            </w:r>
          </w:p>
        </w:tc>
        <w:tc>
          <w:tcPr>
            <w:tcW w:w="6219" w:type="dxa"/>
          </w:tcPr>
          <w:p w:rsidR="00D12641" w:rsidRDefault="007904B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maintain or exceed the Overall Score (mean) in the School Staff Survey - School Climate module at or above 70%</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maintain or exceed the Overall Score (mean) in the School Staff Survey – Staff Safety &amp; Wellbeing module at or above 75%</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increase the number of students with high or medium gains (Year 3 - 5) in NAPLAN Reading to be at or above 75%</w:t>
            </w:r>
          </w:p>
          <w:p w:rsidR="00D12641" w:rsidRDefault="00D12641"/>
        </w:tc>
        <w:tc>
          <w:tcPr>
            <w:tcW w:w="3945" w:type="dxa"/>
          </w:tcPr>
          <w:p w:rsidR="00B06A30" w:rsidRPr="00BB23C7" w:rsidRDefault="007F69BD" w:rsidP="00BB23C7">
            <w:pPr>
              <w:pStyle w:val="ESBodyText"/>
              <w:spacing w:after="0"/>
            </w:pPr>
          </w:p>
        </w:tc>
      </w:tr>
      <w:tr w:rsidR="00D12641" w:rsidTr="000F3492">
        <w:trPr>
          <w:trHeight w:val="83"/>
        </w:trPr>
        <w:tc>
          <w:tcPr>
            <w:tcW w:w="3589" w:type="dxa"/>
          </w:tcPr>
          <w:p w:rsidR="00B06A30" w:rsidRPr="00BB23C7" w:rsidRDefault="007904BB" w:rsidP="00BB23C7">
            <w:pPr>
              <w:pStyle w:val="ESBodyText"/>
              <w:spacing w:after="0"/>
            </w:pPr>
            <w:r>
              <w:rPr>
                <w:sz w:val="20"/>
              </w:rPr>
              <w:t xml:space="preserve">Excellence in Teaching and Learning </w:t>
            </w:r>
            <w:r>
              <w:rPr>
                <w:sz w:val="20"/>
              </w:rPr>
              <w:br/>
            </w:r>
            <w:r>
              <w:rPr>
                <w:sz w:val="20"/>
              </w:rPr>
              <w:br/>
              <w:t>Goal: To improve student learning outcomes in Reading.</w:t>
            </w:r>
          </w:p>
        </w:tc>
        <w:tc>
          <w:tcPr>
            <w:tcW w:w="1457" w:type="dxa"/>
          </w:tcPr>
          <w:p w:rsidR="00B06A30" w:rsidRPr="00BB23C7" w:rsidRDefault="007904BB" w:rsidP="00BB23C7">
            <w:pPr>
              <w:pStyle w:val="ESBodyText"/>
              <w:spacing w:after="0"/>
            </w:pPr>
            <w:r>
              <w:rPr>
                <w:sz w:val="20"/>
              </w:rPr>
              <w:t>Yes</w:t>
            </w:r>
          </w:p>
        </w:tc>
        <w:tc>
          <w:tcPr>
            <w:tcW w:w="6219" w:type="dxa"/>
          </w:tcPr>
          <w:p w:rsidR="00D12641" w:rsidRDefault="007904B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the percentage of students in the Top 2 Bands (Year 5) in NAPLAN Reading from 0% (2018) to 30% (2020)</w:t>
            </w:r>
          </w:p>
          <w:p w:rsidR="00D12641" w:rsidRDefault="007904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the students with high or medium relative learning gain (Years 3 - 5) in NAPLAN Reading from 37.5% (2018) to 60% (2020)</w:t>
            </w:r>
          </w:p>
          <w:p w:rsidR="00D12641" w:rsidRDefault="00D12641"/>
        </w:tc>
        <w:tc>
          <w:tcPr>
            <w:tcW w:w="3945" w:type="dxa"/>
          </w:tcPr>
          <w:p w:rsidR="00B06A30" w:rsidRPr="00BB23C7" w:rsidRDefault="007904BB" w:rsidP="00BB23C7">
            <w:pPr>
              <w:pStyle w:val="ESBodyText"/>
              <w:spacing w:after="0"/>
            </w:pPr>
            <w:r>
              <w:rPr>
                <w:sz w:val="20"/>
              </w:rPr>
              <w:t>To increase the percentage of students in the Top 2 Bands (Year 5) in NAPLAN Reading from 0% (2018) to 25% (2019)</w:t>
            </w:r>
            <w:r>
              <w:rPr>
                <w:sz w:val="20"/>
              </w:rPr>
              <w:br/>
            </w:r>
            <w:r>
              <w:rPr>
                <w:sz w:val="20"/>
              </w:rPr>
              <w:br/>
              <w:t>To increase the student with high or medium relative learning gain (Year 3 to 5) in NAPLAN Reading from 37.5% (2018) to 50% (2019)</w:t>
            </w:r>
            <w:r>
              <w:rPr>
                <w:sz w:val="20"/>
              </w:rPr>
              <w:br/>
            </w:r>
          </w:p>
        </w:tc>
      </w:tr>
    </w:tbl>
    <w:p w:rsidR="003E4341" w:rsidRDefault="007F69BD" w:rsidP="00BB23C7">
      <w:pPr>
        <w:pStyle w:val="ESBodyText"/>
        <w:spacing w:after="0"/>
      </w:pPr>
    </w:p>
    <w:p w:rsidR="00973DEE" w:rsidRDefault="007F69B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D12641" w:rsidTr="00DA66C8">
        <w:trPr>
          <w:trHeight w:val="218"/>
        </w:trPr>
        <w:tc>
          <w:tcPr>
            <w:tcW w:w="3772" w:type="dxa"/>
            <w:shd w:val="clear" w:color="auto" w:fill="D9D9D9" w:themeFill="background1" w:themeFillShade="D9"/>
          </w:tcPr>
          <w:p w:rsidR="00973DEE" w:rsidRPr="00AC7B7B" w:rsidRDefault="007904BB"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7904BB" w:rsidP="00BB23C7">
            <w:pPr>
              <w:pStyle w:val="ESBodyText"/>
              <w:spacing w:after="0"/>
              <w:rPr>
                <w:b/>
              </w:rPr>
            </w:pPr>
            <w:r>
              <w:rPr>
                <w:sz w:val="20"/>
              </w:rPr>
              <w:t xml:space="preserve">Excellence in Teaching and Learning </w:t>
            </w:r>
            <w:r>
              <w:rPr>
                <w:sz w:val="20"/>
              </w:rPr>
              <w:br/>
            </w:r>
            <w:r>
              <w:rPr>
                <w:sz w:val="20"/>
              </w:rPr>
              <w:br/>
              <w:t>Goal: To improve student learning outcomes in Numeracy.</w:t>
            </w:r>
          </w:p>
        </w:tc>
      </w:tr>
      <w:tr w:rsidR="00D12641" w:rsidTr="00DA66C8">
        <w:trPr>
          <w:trHeight w:val="15"/>
        </w:trPr>
        <w:tc>
          <w:tcPr>
            <w:tcW w:w="3772" w:type="dxa"/>
            <w:shd w:val="clear" w:color="auto" w:fill="D9D9D9" w:themeFill="background1" w:themeFillShade="D9"/>
          </w:tcPr>
          <w:p w:rsidR="00973DEE" w:rsidRPr="00DB56D4" w:rsidRDefault="007904BB"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7904BB" w:rsidP="00BB23C7">
            <w:pPr>
              <w:pStyle w:val="ESBodyText"/>
              <w:spacing w:after="0"/>
              <w:rPr>
                <w:b/>
              </w:rPr>
            </w:pPr>
            <w:r>
              <w:rPr>
                <w:sz w:val="20"/>
              </w:rPr>
              <w:t>To increase the percentage of students in the Top 2 Bands (Year 5) in NAPLAN Numeracy from 5.6% (2018) to 25% (2019)</w:t>
            </w:r>
            <w:r>
              <w:rPr>
                <w:sz w:val="20"/>
              </w:rPr>
              <w:br/>
            </w:r>
            <w:r>
              <w:rPr>
                <w:sz w:val="20"/>
              </w:rPr>
              <w:br/>
              <w:t>To increase the student with high or medium relative learning gain (Year 3 to 5) in NAPLAN Numeracy from 46.7% (2018) to 60% (2019)</w:t>
            </w:r>
            <w:r>
              <w:rPr>
                <w:sz w:val="20"/>
              </w:rPr>
              <w:br/>
            </w:r>
          </w:p>
        </w:tc>
      </w:tr>
      <w:tr w:rsidR="00D12641" w:rsidTr="00A800BE">
        <w:trPr>
          <w:trHeight w:val="15"/>
        </w:trPr>
        <w:tc>
          <w:tcPr>
            <w:tcW w:w="12022" w:type="dxa"/>
            <w:gridSpan w:val="2"/>
            <w:shd w:val="clear" w:color="auto" w:fill="D9D9D9" w:themeFill="background1" w:themeFillShade="D9"/>
          </w:tcPr>
          <w:p w:rsidR="00DB56D4" w:rsidRPr="00BD3D7C" w:rsidRDefault="007904BB"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7904BB" w:rsidP="00BB23C7">
            <w:pPr>
              <w:pStyle w:val="ESBodyText"/>
              <w:spacing w:after="0"/>
              <w:rPr>
                <w:b/>
              </w:rPr>
            </w:pPr>
            <w:r w:rsidRPr="00BD3D7C">
              <w:rPr>
                <w:color w:val="000000"/>
                <w:lang w:val="en-AU"/>
              </w:rPr>
              <w:t>Is this KIS selected for focus this year?</w:t>
            </w:r>
          </w:p>
        </w:tc>
      </w:tr>
      <w:tr w:rsidR="00D12641" w:rsidTr="00CE0F0F">
        <w:trPr>
          <w:trHeight w:val="176"/>
        </w:trPr>
        <w:tc>
          <w:tcPr>
            <w:tcW w:w="3772" w:type="dxa"/>
            <w:shd w:val="clear" w:color="auto" w:fill="62BFEB"/>
          </w:tcPr>
          <w:p w:rsidR="00DB56D4" w:rsidRPr="00D43286" w:rsidRDefault="007904BB" w:rsidP="00BB23C7">
            <w:pPr>
              <w:pStyle w:val="ESBodyText"/>
              <w:spacing w:after="0"/>
              <w:rPr>
                <w:b/>
              </w:rPr>
            </w:pPr>
            <w:r w:rsidRPr="00BD3D7C">
              <w:rPr>
                <w:b/>
                <w:sz w:val="20"/>
                <w:szCs w:val="20"/>
              </w:rPr>
              <w:t>KIS 1</w:t>
            </w:r>
          </w:p>
          <w:p w:rsidR="00D12641" w:rsidRDefault="007904BB">
            <w:r>
              <w:rPr>
                <w:sz w:val="20"/>
              </w:rPr>
              <w:t>Building practice excellence</w:t>
            </w:r>
          </w:p>
        </w:tc>
        <w:tc>
          <w:tcPr>
            <w:tcW w:w="8250" w:type="dxa"/>
            <w:shd w:val="clear" w:color="auto" w:fill="62BFEB"/>
          </w:tcPr>
          <w:p w:rsidR="00DB56D4" w:rsidRPr="00D43286" w:rsidRDefault="007904BB" w:rsidP="00BB23C7">
            <w:pPr>
              <w:pStyle w:val="ESBodyText"/>
              <w:spacing w:after="0"/>
              <w:rPr>
                <w:b/>
              </w:rPr>
            </w:pPr>
            <w:r>
              <w:rPr>
                <w:sz w:val="20"/>
              </w:rPr>
              <w:t>Build staff capacity to effectively collect, interpret and analyse student learning data to inform their teaching and learning programs</w:t>
            </w:r>
          </w:p>
        </w:tc>
        <w:tc>
          <w:tcPr>
            <w:tcW w:w="3188" w:type="dxa"/>
          </w:tcPr>
          <w:p w:rsidR="00DB56D4" w:rsidRPr="00D43286" w:rsidRDefault="007904BB" w:rsidP="00BB23C7">
            <w:pPr>
              <w:pStyle w:val="ESBodyText"/>
              <w:spacing w:after="0"/>
              <w:rPr>
                <w:b/>
              </w:rPr>
            </w:pPr>
            <w:r>
              <w:rPr>
                <w:sz w:val="20"/>
              </w:rPr>
              <w:t>No</w:t>
            </w:r>
          </w:p>
        </w:tc>
      </w:tr>
      <w:tr w:rsidR="00D12641" w:rsidTr="00CE0F0F">
        <w:trPr>
          <w:trHeight w:val="176"/>
        </w:trPr>
        <w:tc>
          <w:tcPr>
            <w:tcW w:w="3772" w:type="dxa"/>
            <w:shd w:val="clear" w:color="auto" w:fill="62BFEB"/>
          </w:tcPr>
          <w:p w:rsidR="00DB56D4" w:rsidRPr="00D43286" w:rsidRDefault="007904BB" w:rsidP="00BB23C7">
            <w:pPr>
              <w:pStyle w:val="ESBodyText"/>
              <w:spacing w:after="0"/>
              <w:rPr>
                <w:b/>
              </w:rPr>
            </w:pPr>
            <w:r w:rsidRPr="00BD3D7C">
              <w:rPr>
                <w:b/>
                <w:sz w:val="20"/>
                <w:szCs w:val="20"/>
              </w:rPr>
              <w:t>KIS 2</w:t>
            </w:r>
          </w:p>
          <w:p w:rsidR="00D12641" w:rsidRDefault="007904BB">
            <w:r>
              <w:rPr>
                <w:sz w:val="20"/>
              </w:rPr>
              <w:t>Building practice excellence</w:t>
            </w:r>
          </w:p>
        </w:tc>
        <w:tc>
          <w:tcPr>
            <w:tcW w:w="8250" w:type="dxa"/>
            <w:shd w:val="clear" w:color="auto" w:fill="62BFEB"/>
          </w:tcPr>
          <w:p w:rsidR="00DB56D4" w:rsidRPr="00D43286" w:rsidRDefault="007904BB" w:rsidP="00BB23C7">
            <w:pPr>
              <w:pStyle w:val="ESBodyText"/>
              <w:spacing w:after="0"/>
              <w:rPr>
                <w:b/>
              </w:rPr>
            </w:pPr>
            <w:r>
              <w:rPr>
                <w:sz w:val="20"/>
              </w:rPr>
              <w:t>Develop consistent whole school documentation and approaches to Numeracy, including curriculum plans and agreed assessment procedures</w:t>
            </w:r>
          </w:p>
        </w:tc>
        <w:tc>
          <w:tcPr>
            <w:tcW w:w="3188" w:type="dxa"/>
          </w:tcPr>
          <w:p w:rsidR="00DB56D4" w:rsidRPr="00D43286" w:rsidRDefault="007904BB" w:rsidP="00BB23C7">
            <w:pPr>
              <w:pStyle w:val="ESBodyText"/>
              <w:spacing w:after="0"/>
              <w:rPr>
                <w:b/>
              </w:rPr>
            </w:pPr>
            <w:r>
              <w:rPr>
                <w:sz w:val="20"/>
              </w:rPr>
              <w:t>Yes</w:t>
            </w:r>
          </w:p>
        </w:tc>
      </w:tr>
      <w:tr w:rsidR="00D12641" w:rsidTr="00CE0F0F">
        <w:trPr>
          <w:trHeight w:val="176"/>
        </w:trPr>
        <w:tc>
          <w:tcPr>
            <w:tcW w:w="3772" w:type="dxa"/>
            <w:shd w:val="clear" w:color="auto" w:fill="62BFEB"/>
          </w:tcPr>
          <w:p w:rsidR="00DB56D4" w:rsidRPr="00D43286" w:rsidRDefault="007904BB" w:rsidP="00BB23C7">
            <w:pPr>
              <w:pStyle w:val="ESBodyText"/>
              <w:spacing w:after="0"/>
              <w:rPr>
                <w:b/>
              </w:rPr>
            </w:pPr>
            <w:r w:rsidRPr="00BD3D7C">
              <w:rPr>
                <w:b/>
                <w:sz w:val="20"/>
                <w:szCs w:val="20"/>
              </w:rPr>
              <w:t>KIS 3</w:t>
            </w:r>
          </w:p>
          <w:p w:rsidR="00D12641" w:rsidRDefault="007904BB">
            <w:r>
              <w:rPr>
                <w:sz w:val="20"/>
              </w:rPr>
              <w:t>Building practice excellence</w:t>
            </w:r>
          </w:p>
        </w:tc>
        <w:tc>
          <w:tcPr>
            <w:tcW w:w="8250" w:type="dxa"/>
            <w:shd w:val="clear" w:color="auto" w:fill="62BFEB"/>
          </w:tcPr>
          <w:p w:rsidR="00DB56D4" w:rsidRPr="00D43286" w:rsidRDefault="007904BB" w:rsidP="00BB23C7">
            <w:pPr>
              <w:pStyle w:val="ESBodyText"/>
              <w:spacing w:after="0"/>
              <w:rPr>
                <w:b/>
              </w:rPr>
            </w:pPr>
            <w:r>
              <w:rPr>
                <w:sz w:val="20"/>
              </w:rPr>
              <w:t>Promote student ownership of developing and reviewing their own learning goals</w:t>
            </w:r>
          </w:p>
        </w:tc>
        <w:tc>
          <w:tcPr>
            <w:tcW w:w="3188" w:type="dxa"/>
          </w:tcPr>
          <w:p w:rsidR="00DB56D4" w:rsidRPr="00D43286" w:rsidRDefault="007904BB" w:rsidP="00BB23C7">
            <w:pPr>
              <w:pStyle w:val="ESBodyText"/>
              <w:spacing w:after="0"/>
              <w:rPr>
                <w:b/>
              </w:rPr>
            </w:pPr>
            <w:r>
              <w:rPr>
                <w:sz w:val="20"/>
              </w:rPr>
              <w:t>Yes</w:t>
            </w:r>
          </w:p>
        </w:tc>
      </w:tr>
      <w:tr w:rsidR="00D12641" w:rsidTr="0001315D">
        <w:trPr>
          <w:trHeight w:val="1741"/>
        </w:trPr>
        <w:tc>
          <w:tcPr>
            <w:tcW w:w="3772" w:type="dxa"/>
            <w:shd w:val="clear" w:color="auto" w:fill="D9D9D9" w:themeFill="background1" w:themeFillShade="D9"/>
          </w:tcPr>
          <w:p w:rsidR="00BD3D7C" w:rsidRPr="00BD3D7C" w:rsidRDefault="007904BB"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7904BB" w:rsidP="00BB23C7">
            <w:pPr>
              <w:pStyle w:val="ESBodyText"/>
              <w:spacing w:after="0"/>
              <w:rPr>
                <w:b/>
              </w:rPr>
            </w:pPr>
            <w:r>
              <w:rPr>
                <w:sz w:val="20"/>
              </w:rPr>
              <w:t>We plan to focus specifically on the High Impact Teaching Strategies of Explicit Teaching and Goal Setting in Mathematics. Our participation in the Primary Maths Science Specialist Program will support this work.</w:t>
            </w:r>
          </w:p>
        </w:tc>
      </w:tr>
      <w:tr w:rsidR="00D12641" w:rsidTr="00DA66C8">
        <w:trPr>
          <w:trHeight w:val="218"/>
        </w:trPr>
        <w:tc>
          <w:tcPr>
            <w:tcW w:w="3772" w:type="dxa"/>
            <w:shd w:val="clear" w:color="auto" w:fill="D9D9D9" w:themeFill="background1" w:themeFillShade="D9"/>
          </w:tcPr>
          <w:p w:rsidR="00973DEE" w:rsidRPr="00AC7B7B" w:rsidRDefault="007904BB"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7904BB" w:rsidP="00BB23C7">
            <w:pPr>
              <w:pStyle w:val="ESBodyText"/>
              <w:spacing w:after="0"/>
              <w:rPr>
                <w:b/>
              </w:rPr>
            </w:pPr>
            <w:r>
              <w:rPr>
                <w:sz w:val="20"/>
              </w:rPr>
              <w:t>Positive Climate for Learning</w:t>
            </w:r>
            <w:r>
              <w:rPr>
                <w:sz w:val="20"/>
              </w:rPr>
              <w:br/>
            </w:r>
            <w:r>
              <w:rPr>
                <w:sz w:val="20"/>
              </w:rPr>
              <w:br/>
              <w:t>Goal: To further embed SWPBS across all areas of the school through continuing development increased fidelity and embedding of a positive learning culture with a specific focus on improving student perceptions of safety.</w:t>
            </w:r>
          </w:p>
        </w:tc>
      </w:tr>
      <w:tr w:rsidR="00D12641" w:rsidTr="00DA66C8">
        <w:trPr>
          <w:trHeight w:val="15"/>
        </w:trPr>
        <w:tc>
          <w:tcPr>
            <w:tcW w:w="3772" w:type="dxa"/>
            <w:shd w:val="clear" w:color="auto" w:fill="D9D9D9" w:themeFill="background1" w:themeFillShade="D9"/>
          </w:tcPr>
          <w:p w:rsidR="00973DEE" w:rsidRPr="00DB56D4" w:rsidRDefault="007904BB"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7904BB" w:rsidP="00BB23C7">
            <w:pPr>
              <w:pStyle w:val="ESBodyText"/>
              <w:spacing w:after="0"/>
              <w:rPr>
                <w:b/>
              </w:rPr>
            </w:pPr>
            <w:r>
              <w:rPr>
                <w:sz w:val="20"/>
              </w:rPr>
              <w:t xml:space="preserve">To increase the Attendance Rate from 87.4% (2018) to above 90% in (2019) </w:t>
            </w:r>
            <w:r>
              <w:rPr>
                <w:sz w:val="20"/>
              </w:rPr>
              <w:br/>
            </w:r>
            <w:r>
              <w:rPr>
                <w:sz w:val="20"/>
              </w:rPr>
              <w:br/>
              <w:t>To increase the percentage of students responding positively in the Attitudes to School Survey about feeling safe at school from 67% (2018) to 80% (2019) and about feeling that the school deals fairly with bullying problems from 68% (2018) to 80% (2019)</w:t>
            </w:r>
            <w:r>
              <w:rPr>
                <w:sz w:val="20"/>
              </w:rPr>
              <w:br/>
            </w:r>
            <w:r>
              <w:rPr>
                <w:sz w:val="20"/>
              </w:rPr>
              <w:br/>
              <w:t>To increase the percentage of parents who believe that the school gives them  opportunities to participate in their child's education in the Parent Opi</w:t>
            </w:r>
            <w:r w:rsidR="008E536F">
              <w:rPr>
                <w:sz w:val="20"/>
              </w:rPr>
              <w:t>ni</w:t>
            </w:r>
            <w:r>
              <w:rPr>
                <w:sz w:val="20"/>
              </w:rPr>
              <w:t>on Survey from 82% (2018) to 95% (2019)</w:t>
            </w:r>
          </w:p>
        </w:tc>
      </w:tr>
      <w:tr w:rsidR="00D12641" w:rsidTr="00A800BE">
        <w:trPr>
          <w:trHeight w:val="15"/>
        </w:trPr>
        <w:tc>
          <w:tcPr>
            <w:tcW w:w="12022" w:type="dxa"/>
            <w:gridSpan w:val="2"/>
            <w:shd w:val="clear" w:color="auto" w:fill="D9D9D9" w:themeFill="background1" w:themeFillShade="D9"/>
          </w:tcPr>
          <w:p w:rsidR="00DB56D4" w:rsidRPr="00BD3D7C" w:rsidRDefault="007904BB"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7904BB" w:rsidP="00BB23C7">
            <w:pPr>
              <w:pStyle w:val="ESBodyText"/>
              <w:spacing w:after="0"/>
              <w:rPr>
                <w:b/>
              </w:rPr>
            </w:pPr>
            <w:r w:rsidRPr="00BD3D7C">
              <w:rPr>
                <w:color w:val="000000"/>
                <w:lang w:val="en-AU"/>
              </w:rPr>
              <w:t>Is this KIS selected for focus this year?</w:t>
            </w:r>
          </w:p>
        </w:tc>
      </w:tr>
      <w:tr w:rsidR="00D12641" w:rsidTr="00CE0F0F">
        <w:trPr>
          <w:trHeight w:val="176"/>
        </w:trPr>
        <w:tc>
          <w:tcPr>
            <w:tcW w:w="3772" w:type="dxa"/>
            <w:shd w:val="clear" w:color="auto" w:fill="auto"/>
          </w:tcPr>
          <w:p w:rsidR="00DB56D4" w:rsidRPr="00D43286" w:rsidRDefault="007904BB" w:rsidP="00BB23C7">
            <w:pPr>
              <w:pStyle w:val="ESBodyText"/>
              <w:spacing w:after="0"/>
              <w:rPr>
                <w:b/>
              </w:rPr>
            </w:pPr>
            <w:r w:rsidRPr="00BD3D7C">
              <w:rPr>
                <w:b/>
                <w:sz w:val="20"/>
                <w:szCs w:val="20"/>
              </w:rPr>
              <w:t>KIS 1</w:t>
            </w:r>
          </w:p>
          <w:p w:rsidR="00D12641" w:rsidRDefault="007904BB">
            <w:r>
              <w:rPr>
                <w:sz w:val="20"/>
              </w:rPr>
              <w:t>Empowering students and building school pride</w:t>
            </w:r>
          </w:p>
        </w:tc>
        <w:tc>
          <w:tcPr>
            <w:tcW w:w="8250" w:type="dxa"/>
            <w:shd w:val="clear" w:color="auto" w:fill="auto"/>
          </w:tcPr>
          <w:p w:rsidR="00DB56D4" w:rsidRPr="00D43286" w:rsidRDefault="007904BB" w:rsidP="00BB23C7">
            <w:pPr>
              <w:pStyle w:val="ESBodyText"/>
              <w:spacing w:after="0"/>
              <w:rPr>
                <w:b/>
              </w:rPr>
            </w:pPr>
            <w:r>
              <w:rPr>
                <w:sz w:val="20"/>
              </w:rPr>
              <w:t>- Further develop staff understanding of the social, emotional and academic vulnerabilities of students and families from disadvantaged backgrounds.</w:t>
            </w:r>
          </w:p>
        </w:tc>
        <w:tc>
          <w:tcPr>
            <w:tcW w:w="3188" w:type="dxa"/>
          </w:tcPr>
          <w:p w:rsidR="00DB56D4" w:rsidRPr="00D43286" w:rsidRDefault="007904BB" w:rsidP="00BB23C7">
            <w:pPr>
              <w:pStyle w:val="ESBodyText"/>
              <w:spacing w:after="0"/>
              <w:rPr>
                <w:b/>
              </w:rPr>
            </w:pPr>
            <w:r>
              <w:rPr>
                <w:sz w:val="20"/>
              </w:rPr>
              <w:t>No</w:t>
            </w:r>
          </w:p>
        </w:tc>
      </w:tr>
      <w:tr w:rsidR="00D12641" w:rsidTr="00CE0F0F">
        <w:trPr>
          <w:trHeight w:val="176"/>
        </w:trPr>
        <w:tc>
          <w:tcPr>
            <w:tcW w:w="3772" w:type="dxa"/>
            <w:shd w:val="clear" w:color="auto" w:fill="auto"/>
          </w:tcPr>
          <w:p w:rsidR="00DB56D4" w:rsidRPr="00D43286" w:rsidRDefault="007904BB" w:rsidP="00BB23C7">
            <w:pPr>
              <w:pStyle w:val="ESBodyText"/>
              <w:spacing w:after="0"/>
              <w:rPr>
                <w:b/>
              </w:rPr>
            </w:pPr>
            <w:r w:rsidRPr="00BD3D7C">
              <w:rPr>
                <w:b/>
                <w:sz w:val="20"/>
                <w:szCs w:val="20"/>
              </w:rPr>
              <w:t>KIS 2</w:t>
            </w:r>
          </w:p>
          <w:p w:rsidR="00D12641" w:rsidRDefault="007904BB">
            <w:r>
              <w:rPr>
                <w:sz w:val="20"/>
              </w:rPr>
              <w:t>Empowering students and building school pride</w:t>
            </w:r>
          </w:p>
        </w:tc>
        <w:tc>
          <w:tcPr>
            <w:tcW w:w="8250" w:type="dxa"/>
            <w:shd w:val="clear" w:color="auto" w:fill="auto"/>
          </w:tcPr>
          <w:p w:rsidR="00DB56D4" w:rsidRPr="00D43286" w:rsidRDefault="007904BB" w:rsidP="00BB23C7">
            <w:pPr>
              <w:pStyle w:val="ESBodyText"/>
              <w:spacing w:after="0"/>
              <w:rPr>
                <w:b/>
              </w:rPr>
            </w:pPr>
            <w:r>
              <w:rPr>
                <w:sz w:val="20"/>
              </w:rPr>
              <w:t>- Develop school-based measures to regularly monitor and respond to Student Safety, Engagement and Learning</w:t>
            </w:r>
          </w:p>
        </w:tc>
        <w:tc>
          <w:tcPr>
            <w:tcW w:w="3188" w:type="dxa"/>
          </w:tcPr>
          <w:p w:rsidR="00DB56D4" w:rsidRPr="00D43286" w:rsidRDefault="007904BB" w:rsidP="00BB23C7">
            <w:pPr>
              <w:pStyle w:val="ESBodyText"/>
              <w:spacing w:after="0"/>
              <w:rPr>
                <w:b/>
              </w:rPr>
            </w:pPr>
            <w:r>
              <w:rPr>
                <w:sz w:val="20"/>
              </w:rPr>
              <w:t>Yes</w:t>
            </w:r>
          </w:p>
        </w:tc>
      </w:tr>
      <w:tr w:rsidR="00D12641" w:rsidTr="00CE0F0F">
        <w:trPr>
          <w:trHeight w:val="176"/>
        </w:trPr>
        <w:tc>
          <w:tcPr>
            <w:tcW w:w="3772" w:type="dxa"/>
            <w:shd w:val="clear" w:color="auto" w:fill="auto"/>
          </w:tcPr>
          <w:p w:rsidR="00DB56D4" w:rsidRPr="00D43286" w:rsidRDefault="007904BB" w:rsidP="00BB23C7">
            <w:pPr>
              <w:pStyle w:val="ESBodyText"/>
              <w:spacing w:after="0"/>
              <w:rPr>
                <w:b/>
              </w:rPr>
            </w:pPr>
            <w:r w:rsidRPr="00BD3D7C">
              <w:rPr>
                <w:b/>
                <w:sz w:val="20"/>
                <w:szCs w:val="20"/>
              </w:rPr>
              <w:t>KIS 3</w:t>
            </w:r>
          </w:p>
          <w:p w:rsidR="00D12641" w:rsidRDefault="007904BB">
            <w:r>
              <w:rPr>
                <w:sz w:val="20"/>
              </w:rPr>
              <w:t>Empowering students and building school pride</w:t>
            </w:r>
          </w:p>
        </w:tc>
        <w:tc>
          <w:tcPr>
            <w:tcW w:w="8250" w:type="dxa"/>
            <w:shd w:val="clear" w:color="auto" w:fill="auto"/>
          </w:tcPr>
          <w:p w:rsidR="00DB56D4" w:rsidRPr="00D43286" w:rsidRDefault="007904BB" w:rsidP="00BB23C7">
            <w:pPr>
              <w:pStyle w:val="ESBodyText"/>
              <w:spacing w:after="0"/>
              <w:rPr>
                <w:b/>
              </w:rPr>
            </w:pPr>
            <w:r>
              <w:rPr>
                <w:sz w:val="20"/>
              </w:rPr>
              <w:t>- Use a range of strategies and approaches to promote the importance of school attendance</w:t>
            </w:r>
          </w:p>
        </w:tc>
        <w:tc>
          <w:tcPr>
            <w:tcW w:w="3188" w:type="dxa"/>
          </w:tcPr>
          <w:p w:rsidR="00DB56D4" w:rsidRPr="00D43286" w:rsidRDefault="007904BB" w:rsidP="00BB23C7">
            <w:pPr>
              <w:pStyle w:val="ESBodyText"/>
              <w:spacing w:after="0"/>
              <w:rPr>
                <w:b/>
              </w:rPr>
            </w:pPr>
            <w:r>
              <w:rPr>
                <w:sz w:val="20"/>
              </w:rPr>
              <w:t>Yes</w:t>
            </w:r>
          </w:p>
        </w:tc>
      </w:tr>
      <w:tr w:rsidR="00D12641" w:rsidTr="0001315D">
        <w:trPr>
          <w:trHeight w:val="1741"/>
        </w:trPr>
        <w:tc>
          <w:tcPr>
            <w:tcW w:w="3772" w:type="dxa"/>
            <w:shd w:val="clear" w:color="auto" w:fill="D9D9D9" w:themeFill="background1" w:themeFillShade="D9"/>
          </w:tcPr>
          <w:p w:rsidR="00BD3D7C" w:rsidRPr="00BD3D7C" w:rsidRDefault="007904BB"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7904BB" w:rsidP="00BB23C7">
            <w:pPr>
              <w:pStyle w:val="ESBodyText"/>
              <w:spacing w:after="0"/>
              <w:rPr>
                <w:b/>
              </w:rPr>
            </w:pPr>
            <w:r>
              <w:rPr>
                <w:sz w:val="20"/>
              </w:rPr>
              <w:t>Our School Improvement Partnership with Sunshine Height Primary School will focus specifically on developing Community Engagement to support improved attendance and parent partnerships in learning.</w:t>
            </w:r>
          </w:p>
        </w:tc>
      </w:tr>
      <w:tr w:rsidR="00D12641" w:rsidTr="00DA66C8">
        <w:trPr>
          <w:trHeight w:val="218"/>
        </w:trPr>
        <w:tc>
          <w:tcPr>
            <w:tcW w:w="3772" w:type="dxa"/>
            <w:shd w:val="clear" w:color="auto" w:fill="D9D9D9" w:themeFill="background1" w:themeFillShade="D9"/>
          </w:tcPr>
          <w:p w:rsidR="00973DEE" w:rsidRPr="00AC7B7B" w:rsidRDefault="007904BB"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rsidR="00973DEE" w:rsidRPr="00D43286" w:rsidRDefault="007904BB" w:rsidP="00BB23C7">
            <w:pPr>
              <w:pStyle w:val="ESBodyText"/>
              <w:spacing w:after="0"/>
              <w:rPr>
                <w:b/>
              </w:rPr>
            </w:pPr>
            <w:r>
              <w:rPr>
                <w:sz w:val="20"/>
              </w:rPr>
              <w:t xml:space="preserve">Excellence in Teaching and Learning </w:t>
            </w:r>
            <w:r>
              <w:rPr>
                <w:sz w:val="20"/>
              </w:rPr>
              <w:br/>
            </w:r>
            <w:r>
              <w:rPr>
                <w:sz w:val="20"/>
              </w:rPr>
              <w:br/>
              <w:t>Goal: To improve student learning outcomes in Reading.</w:t>
            </w:r>
          </w:p>
        </w:tc>
      </w:tr>
      <w:tr w:rsidR="00D12641" w:rsidTr="00DA66C8">
        <w:trPr>
          <w:trHeight w:val="15"/>
        </w:trPr>
        <w:tc>
          <w:tcPr>
            <w:tcW w:w="3772" w:type="dxa"/>
            <w:shd w:val="clear" w:color="auto" w:fill="D9D9D9" w:themeFill="background1" w:themeFillShade="D9"/>
          </w:tcPr>
          <w:p w:rsidR="00973DEE" w:rsidRPr="00DB56D4" w:rsidRDefault="007904BB"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rsidR="00973DEE" w:rsidRPr="00D43286" w:rsidRDefault="007904BB" w:rsidP="00BB23C7">
            <w:pPr>
              <w:pStyle w:val="ESBodyText"/>
              <w:spacing w:after="0"/>
              <w:rPr>
                <w:b/>
              </w:rPr>
            </w:pPr>
            <w:r>
              <w:rPr>
                <w:sz w:val="20"/>
              </w:rPr>
              <w:t>To increase the percentage of students in the Top 2 Bands (Year 5) in NAPLAN Reading from 0% (2018) to 25% (2019)</w:t>
            </w:r>
            <w:r>
              <w:rPr>
                <w:sz w:val="20"/>
              </w:rPr>
              <w:br/>
            </w:r>
            <w:r>
              <w:rPr>
                <w:sz w:val="20"/>
              </w:rPr>
              <w:br/>
              <w:t>To increase the student with high or medium relative learning gain (Year 3 to 5) in NAPLAN Reading from 37.5% (2018) to 50% (2019)</w:t>
            </w:r>
            <w:r>
              <w:rPr>
                <w:sz w:val="20"/>
              </w:rPr>
              <w:br/>
            </w:r>
          </w:p>
        </w:tc>
      </w:tr>
      <w:tr w:rsidR="00D12641" w:rsidTr="00A800BE">
        <w:trPr>
          <w:trHeight w:val="15"/>
        </w:trPr>
        <w:tc>
          <w:tcPr>
            <w:tcW w:w="12022" w:type="dxa"/>
            <w:gridSpan w:val="2"/>
            <w:shd w:val="clear" w:color="auto" w:fill="D9D9D9" w:themeFill="background1" w:themeFillShade="D9"/>
          </w:tcPr>
          <w:p w:rsidR="00DB56D4" w:rsidRPr="00BD3D7C" w:rsidRDefault="007904BB"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7904BB" w:rsidP="00BB23C7">
            <w:pPr>
              <w:pStyle w:val="ESBodyText"/>
              <w:spacing w:after="0"/>
              <w:rPr>
                <w:b/>
              </w:rPr>
            </w:pPr>
            <w:r w:rsidRPr="00BD3D7C">
              <w:rPr>
                <w:color w:val="000000"/>
                <w:lang w:val="en-AU"/>
              </w:rPr>
              <w:t>Is this KIS selected for focus this year?</w:t>
            </w:r>
          </w:p>
        </w:tc>
      </w:tr>
      <w:tr w:rsidR="00D12641" w:rsidTr="00CE0F0F">
        <w:trPr>
          <w:trHeight w:val="176"/>
        </w:trPr>
        <w:tc>
          <w:tcPr>
            <w:tcW w:w="3772" w:type="dxa"/>
            <w:shd w:val="clear" w:color="auto" w:fill="62BFEB"/>
          </w:tcPr>
          <w:p w:rsidR="00DB56D4" w:rsidRPr="00D43286" w:rsidRDefault="007904BB" w:rsidP="00BB23C7">
            <w:pPr>
              <w:pStyle w:val="ESBodyText"/>
              <w:spacing w:after="0"/>
              <w:rPr>
                <w:b/>
              </w:rPr>
            </w:pPr>
            <w:r w:rsidRPr="00BD3D7C">
              <w:rPr>
                <w:b/>
                <w:sz w:val="20"/>
                <w:szCs w:val="20"/>
              </w:rPr>
              <w:t>KIS 1</w:t>
            </w:r>
          </w:p>
          <w:p w:rsidR="00D12641" w:rsidRDefault="007904BB">
            <w:r>
              <w:rPr>
                <w:sz w:val="20"/>
              </w:rPr>
              <w:t>Building practice excellence</w:t>
            </w:r>
          </w:p>
        </w:tc>
        <w:tc>
          <w:tcPr>
            <w:tcW w:w="8250" w:type="dxa"/>
            <w:shd w:val="clear" w:color="auto" w:fill="62BFEB"/>
          </w:tcPr>
          <w:p w:rsidR="00DB56D4" w:rsidRPr="00D43286" w:rsidRDefault="007904BB" w:rsidP="00BB23C7">
            <w:pPr>
              <w:pStyle w:val="ESBodyText"/>
              <w:spacing w:after="0"/>
              <w:rPr>
                <w:b/>
              </w:rPr>
            </w:pPr>
            <w:r>
              <w:rPr>
                <w:sz w:val="20"/>
              </w:rPr>
              <w:t>Develop consistent whole school documentation and approaches to Reading, including curriculum plans and agreed assessment procedures</w:t>
            </w:r>
          </w:p>
        </w:tc>
        <w:tc>
          <w:tcPr>
            <w:tcW w:w="3188" w:type="dxa"/>
          </w:tcPr>
          <w:p w:rsidR="00DB56D4" w:rsidRPr="00D43286" w:rsidRDefault="007904BB" w:rsidP="00BB23C7">
            <w:pPr>
              <w:pStyle w:val="ESBodyText"/>
              <w:spacing w:after="0"/>
              <w:rPr>
                <w:b/>
              </w:rPr>
            </w:pPr>
            <w:r>
              <w:rPr>
                <w:sz w:val="20"/>
              </w:rPr>
              <w:t>Yes</w:t>
            </w:r>
          </w:p>
        </w:tc>
      </w:tr>
      <w:tr w:rsidR="00D12641" w:rsidTr="00CE0F0F">
        <w:trPr>
          <w:trHeight w:val="176"/>
        </w:trPr>
        <w:tc>
          <w:tcPr>
            <w:tcW w:w="3772" w:type="dxa"/>
            <w:shd w:val="clear" w:color="auto" w:fill="62BFEB"/>
          </w:tcPr>
          <w:p w:rsidR="00DB56D4" w:rsidRPr="00D43286" w:rsidRDefault="007904BB" w:rsidP="00BB23C7">
            <w:pPr>
              <w:pStyle w:val="ESBodyText"/>
              <w:spacing w:after="0"/>
              <w:rPr>
                <w:b/>
              </w:rPr>
            </w:pPr>
            <w:r w:rsidRPr="00BD3D7C">
              <w:rPr>
                <w:b/>
                <w:sz w:val="20"/>
                <w:szCs w:val="20"/>
              </w:rPr>
              <w:t>KIS 2</w:t>
            </w:r>
          </w:p>
          <w:p w:rsidR="00D12641" w:rsidRDefault="007904BB">
            <w:r>
              <w:rPr>
                <w:sz w:val="20"/>
              </w:rPr>
              <w:t>Building practice excellence</w:t>
            </w:r>
          </w:p>
        </w:tc>
        <w:tc>
          <w:tcPr>
            <w:tcW w:w="8250" w:type="dxa"/>
            <w:shd w:val="clear" w:color="auto" w:fill="62BFEB"/>
          </w:tcPr>
          <w:p w:rsidR="00DB56D4" w:rsidRPr="00D43286" w:rsidRDefault="007904BB" w:rsidP="00BB23C7">
            <w:pPr>
              <w:pStyle w:val="ESBodyText"/>
              <w:spacing w:after="0"/>
              <w:rPr>
                <w:b/>
              </w:rPr>
            </w:pPr>
            <w:r>
              <w:rPr>
                <w:sz w:val="20"/>
              </w:rPr>
              <w:t>Promote student ownership of developing and reviewing their own learning goals</w:t>
            </w:r>
          </w:p>
        </w:tc>
        <w:tc>
          <w:tcPr>
            <w:tcW w:w="3188" w:type="dxa"/>
          </w:tcPr>
          <w:p w:rsidR="00DB56D4" w:rsidRPr="00D43286" w:rsidRDefault="007904BB" w:rsidP="00BB23C7">
            <w:pPr>
              <w:pStyle w:val="ESBodyText"/>
              <w:spacing w:after="0"/>
              <w:rPr>
                <w:b/>
              </w:rPr>
            </w:pPr>
            <w:r>
              <w:rPr>
                <w:sz w:val="20"/>
              </w:rPr>
              <w:t>Yes</w:t>
            </w:r>
          </w:p>
        </w:tc>
      </w:tr>
      <w:tr w:rsidR="00D12641" w:rsidTr="0001315D">
        <w:trPr>
          <w:trHeight w:val="1741"/>
        </w:trPr>
        <w:tc>
          <w:tcPr>
            <w:tcW w:w="3772" w:type="dxa"/>
            <w:shd w:val="clear" w:color="auto" w:fill="D9D9D9" w:themeFill="background1" w:themeFillShade="D9"/>
          </w:tcPr>
          <w:p w:rsidR="00BD3D7C" w:rsidRPr="00BD3D7C" w:rsidRDefault="007904BB"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7904BB" w:rsidP="00BB23C7">
            <w:pPr>
              <w:pStyle w:val="ESBodyText"/>
              <w:spacing w:after="0"/>
              <w:rPr>
                <w:b/>
              </w:rPr>
            </w:pPr>
            <w:r>
              <w:rPr>
                <w:sz w:val="20"/>
              </w:rPr>
              <w:t xml:space="preserve">We plan to focus specifically on the High Impact Teaching Strategies of Explicit Teaching and Goal Setting in Reading. Our participation in the Supporting Reading Growth Project and </w:t>
            </w:r>
            <w:r w:rsidR="003563C8">
              <w:rPr>
                <w:sz w:val="20"/>
              </w:rPr>
              <w:t>appointment</w:t>
            </w:r>
            <w:r>
              <w:rPr>
                <w:sz w:val="20"/>
              </w:rPr>
              <w:t xml:space="preserve"> of a Literacy Learning Specialist will support this work.</w:t>
            </w:r>
          </w:p>
        </w:tc>
      </w:tr>
    </w:tbl>
    <w:p w:rsidR="000A423E" w:rsidRDefault="007F69BD" w:rsidP="004E7357">
      <w:pPr>
        <w:pStyle w:val="ESBodyText"/>
      </w:pPr>
    </w:p>
    <w:p w:rsidR="00D12641" w:rsidRDefault="00D12641"/>
    <w:p w:rsidR="00D12641" w:rsidRDefault="00D12641"/>
    <w:p w:rsidR="00D12641" w:rsidRDefault="00D12641"/>
    <w:sectPr w:rsidR="00D12641"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BD" w:rsidRDefault="007F69BD">
      <w:pPr>
        <w:spacing w:after="0" w:line="240" w:lineRule="auto"/>
      </w:pPr>
      <w:r>
        <w:separator/>
      </w:r>
    </w:p>
  </w:endnote>
  <w:endnote w:type="continuationSeparator" w:id="0">
    <w:p w:rsidR="007F69BD" w:rsidRDefault="007F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7904BB"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7F69BD"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7904BB"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7904BB" w:rsidP="00943620">
    <w:pPr>
      <w:pStyle w:val="ESSubheading1"/>
      <w:ind w:firstLine="567"/>
    </w:pPr>
    <w:r w:rsidRPr="00943620">
      <w:rPr>
        <w:noProof/>
        <w:sz w:val="15"/>
        <w:szCs w:val="15"/>
      </w:rPr>
      <w:t>Whittington Primary School (5123) - 2019 - AIP - Annual Goals Targets and KIS</w:t>
    </w:r>
    <w:r w:rsidRPr="000C104E">
      <w:rPr>
        <w:noProof/>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7904B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A3CC6">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BD" w:rsidRDefault="007F69BD">
      <w:pPr>
        <w:spacing w:after="0" w:line="240" w:lineRule="auto"/>
      </w:pPr>
      <w:r>
        <w:separator/>
      </w:r>
    </w:p>
  </w:footnote>
  <w:footnote w:type="continuationSeparator" w:id="0">
    <w:p w:rsidR="007F69BD" w:rsidRDefault="007F6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F69B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7904BB">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F69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F69B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904BB">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904B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rsidR="00C259B6" w:rsidRDefault="007904B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904BB" w:rsidP="008766A4">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F69B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904B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904B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rsidR="00C259B6" w:rsidRDefault="007904B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F516DE02">
      <w:start w:val="1"/>
      <w:numFmt w:val="bullet"/>
      <w:pStyle w:val="ESBulletsinTable"/>
      <w:lvlText w:val=""/>
      <w:lvlJc w:val="left"/>
      <w:pPr>
        <w:ind w:left="360" w:hanging="360"/>
      </w:pPr>
      <w:rPr>
        <w:rFonts w:ascii="Symbol" w:hAnsi="Symbol" w:hint="default"/>
        <w:color w:val="AF272F"/>
      </w:rPr>
    </w:lvl>
    <w:lvl w:ilvl="1" w:tplc="B7581A94">
      <w:start w:val="1"/>
      <w:numFmt w:val="bullet"/>
      <w:pStyle w:val="ESBulletsinTableLevel2"/>
      <w:lvlText w:val="o"/>
      <w:lvlJc w:val="left"/>
      <w:pPr>
        <w:ind w:left="1440" w:hanging="360"/>
      </w:pPr>
      <w:rPr>
        <w:rFonts w:ascii="Courier New" w:hAnsi="Courier New" w:cs="Courier New" w:hint="default"/>
      </w:rPr>
    </w:lvl>
    <w:lvl w:ilvl="2" w:tplc="1FBCD73A" w:tentative="1">
      <w:start w:val="1"/>
      <w:numFmt w:val="bullet"/>
      <w:lvlText w:val=""/>
      <w:lvlJc w:val="left"/>
      <w:pPr>
        <w:ind w:left="2160" w:hanging="360"/>
      </w:pPr>
      <w:rPr>
        <w:rFonts w:ascii="Wingdings" w:hAnsi="Wingdings" w:hint="default"/>
      </w:rPr>
    </w:lvl>
    <w:lvl w:ilvl="3" w:tplc="7B782C58" w:tentative="1">
      <w:start w:val="1"/>
      <w:numFmt w:val="bullet"/>
      <w:lvlText w:val=""/>
      <w:lvlJc w:val="left"/>
      <w:pPr>
        <w:ind w:left="2880" w:hanging="360"/>
      </w:pPr>
      <w:rPr>
        <w:rFonts w:ascii="Symbol" w:hAnsi="Symbol" w:hint="default"/>
      </w:rPr>
    </w:lvl>
    <w:lvl w:ilvl="4" w:tplc="73F89266" w:tentative="1">
      <w:start w:val="1"/>
      <w:numFmt w:val="bullet"/>
      <w:lvlText w:val="o"/>
      <w:lvlJc w:val="left"/>
      <w:pPr>
        <w:ind w:left="3600" w:hanging="360"/>
      </w:pPr>
      <w:rPr>
        <w:rFonts w:ascii="Courier New" w:hAnsi="Courier New" w:cs="Courier New" w:hint="default"/>
      </w:rPr>
    </w:lvl>
    <w:lvl w:ilvl="5" w:tplc="01AC8352" w:tentative="1">
      <w:start w:val="1"/>
      <w:numFmt w:val="bullet"/>
      <w:lvlText w:val=""/>
      <w:lvlJc w:val="left"/>
      <w:pPr>
        <w:ind w:left="4320" w:hanging="360"/>
      </w:pPr>
      <w:rPr>
        <w:rFonts w:ascii="Wingdings" w:hAnsi="Wingdings" w:hint="default"/>
      </w:rPr>
    </w:lvl>
    <w:lvl w:ilvl="6" w:tplc="57BC1B1A" w:tentative="1">
      <w:start w:val="1"/>
      <w:numFmt w:val="bullet"/>
      <w:lvlText w:val=""/>
      <w:lvlJc w:val="left"/>
      <w:pPr>
        <w:ind w:left="5040" w:hanging="360"/>
      </w:pPr>
      <w:rPr>
        <w:rFonts w:ascii="Symbol" w:hAnsi="Symbol" w:hint="default"/>
      </w:rPr>
    </w:lvl>
    <w:lvl w:ilvl="7" w:tplc="05A62BFC" w:tentative="1">
      <w:start w:val="1"/>
      <w:numFmt w:val="bullet"/>
      <w:lvlText w:val="o"/>
      <w:lvlJc w:val="left"/>
      <w:pPr>
        <w:ind w:left="5760" w:hanging="360"/>
      </w:pPr>
      <w:rPr>
        <w:rFonts w:ascii="Courier New" w:hAnsi="Courier New" w:cs="Courier New" w:hint="default"/>
      </w:rPr>
    </w:lvl>
    <w:lvl w:ilvl="8" w:tplc="D9449B7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41"/>
    <w:rsid w:val="000312B7"/>
    <w:rsid w:val="003563C8"/>
    <w:rsid w:val="007904BB"/>
    <w:rsid w:val="007F69BD"/>
    <w:rsid w:val="008E536F"/>
    <w:rsid w:val="00AA3CC6"/>
    <w:rsid w:val="00D1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1F3450A9"/>
  <w15:docId w15:val="{B3FDD43C-68A5-4671-B12E-C3F22249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A5C5DB9-2990-4316-B93F-5F9A234A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Smith, Craig A</cp:lastModifiedBy>
  <cp:revision>4</cp:revision>
  <dcterms:created xsi:type="dcterms:W3CDTF">2019-09-02T02:17:00Z</dcterms:created>
  <dcterms:modified xsi:type="dcterms:W3CDTF">2019-09-02T02:47:00Z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